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before="0" w:after="240" w:line="240" w:lineRule="auto"/>
        <w:ind w:left="6917" w:right="0" w:firstLine="0"/>
        <w:jc w:val="center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Приложение № 1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br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к приказу Министерства финансов Российской Федерации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br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от 30.12.2020 № 340н</w:t>
      </w:r>
    </w:p>
    <w:p>
      <w:pP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b/>
          <w:bCs/>
          <w:sz w:val="26"/>
          <w:szCs w:val="26"/>
          <w:lang w:val="ru-RU" w:bidi="ru-RU"/>
        </w:rPr>
      </w:pPr>
      <w:r>
        <w:rPr>
          <w:rFonts w:ascii="Segoe UI" w:hAnsi="Segoe UI" w:eastAsia="Segoe UI" w:cs="Segoe UI"/>
          <w:b/>
          <w:bCs/>
          <w:sz w:val="26"/>
          <w:szCs w:val="26"/>
          <w:lang w:val="ru-RU" w:bidi="ru-RU"/>
        </w:rPr>
        <w:t xml:space="preserve">Акт № 1</w:t>
      </w:r>
    </w:p>
    <w:p>
      <w:pPr>
        <w:spacing w:before="0" w:after="0" w:line="240" w:lineRule="auto"/>
        <w:ind w:left="0" w:right="0" w:firstLine="0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1. Метод осуществления внутреннего муниципального финансового контроля: Камеральная проверка.</w:t>
      </w:r>
    </w:p>
    <w:p>
      <w:pPr>
        <w:tabs>
          <w:tab w:val="left" w:pos="524"/>
        </w:tabs>
        <w:spacing w:before="0" w:after="0" w:line="240" w:lineRule="auto"/>
        <w:ind w:left="0" w:right="-1" w:firstLine="0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2. Объект внутреннего муниципального финансового контроля – Контрактная служба местной администрации внутригородского муниципального образования города федерального значения  Санкт-Петербурга поселок Лисий Нос (далее - Контрактная служба)</w:t>
      </w:r>
    </w:p>
    <w:p>
      <w:pPr>
        <w:pBdr>
          <w:top w:val="single" w:sz="4" w:space="1"/>
        </w:pBdr>
        <w:spacing w:before="0" w:after="480" w:line="240" w:lineRule="auto"/>
        <w:ind w:left="0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–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– объект контроля), объекта встречной проверки)</w:t>
      </w:r>
    </w:p>
    <w:tbl>
      <w:tblPr>
        <w:tblStyle w:val="Style_11"/>
        <w:tblW w:w="100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>
        <w:tc>
          <w:tcPr>
            <w:tcW w:w="314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tabs>
                <w:tab w:val="left" w:pos="567"/>
              </w:tabs>
              <w:spacing w:before="0" w:after="0" w:line="240" w:lineRule="auto"/>
              <w:ind w:left="0" w:right="283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Санкт-Петербург, поселок Лисий Нос, ул. Боровая, д. 50, лит. А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</w:p>
        </w:tc>
        <w:tc>
          <w:tcPr>
            <w:tcW w:w="345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</w:p>
        </w:tc>
        <w:tc>
          <w:tcPr>
            <w:tcW w:w="19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«</w:t>
            </w:r>
          </w:p>
        </w:tc>
        <w:tc>
          <w:tcPr>
            <w:tcW w:w="454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25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»</w:t>
            </w:r>
          </w:p>
        </w:tc>
        <w:tc>
          <w:tcPr>
            <w:tcW w:w="1418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ноября</w:t>
            </w:r>
          </w:p>
        </w:tc>
        <w:tc>
          <w:tcPr>
            <w:tcW w:w="39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20</w:t>
            </w:r>
          </w:p>
        </w:tc>
        <w:tc>
          <w:tcPr>
            <w:tcW w:w="39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368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г.</w:t>
            </w:r>
          </w:p>
        </w:tc>
      </w:tr>
    </w:tbl>
    <w:p>
      <w:pPr>
        <w:spacing w:before="0" w:after="0" w:line="240" w:lineRule="auto"/>
        <w:ind w:left="0" w:right="6804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место составления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Контрольное мероприятие проведено на основании: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Распоряжение местной администрации от 11.10.2022 № 42-1 «О проведении внеплановой камеральной проверки соблюдения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нужд» (далее - распоряжение № 42-1). Внеплановое контрольное мероприятие.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ab/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(указываются наименование и реквизиты приказа (распоряжения) органа внутреннего государственного (муниципального) финансового контроля (далее – орган контроля) о назначении контрольного мероприятия, а также основания назначения контрольного мероприятия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</w:t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 </w:t>
      </w:r>
      <w:r>
        <w:rPr>
          <w:rStyle w:val="Style_21"/>
          <w:rFonts w:ascii="Segoe UI" w:hAnsi="Segoe UI" w:eastAsia="Segoe UI" w:cs="Segoe UI"/>
          <w:sz w:val="18"/>
          <w:szCs w:val="18"/>
          <w:vertAlign w:val="superscript"/>
          <w:lang w:val="ru-RU" w:bidi="ru-RU"/>
        </w:rPr>
        <w:footnoteReference w:id="2"/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 (далее – федеральный стандарт №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</w:r>
    </w:p>
    <w:p>
      <w:pPr>
        <w:tabs>
          <w:tab w:val="right" w:pos="9923"/>
        </w:tabs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"/>
          <w:szCs w:val="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Тема контрольного мероприятия: Соблюдение контрактной службой (контрактным управляющим) законодательства Российской Федерации о контрактной системе в сфере закупок товаров, работ услуг для обеспечения государственных и муниципальных нужд при определении поставщиков (подрядчиков, исполнителей), в частности,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начальных сумм цен единиц товаров, работ, услуг, максимального значения цены контракта.</w:t>
      </w:r>
    </w:p>
    <w:p>
      <w:pPr>
        <w:tabs>
          <w:tab w:val="right" w:pos="9923"/>
        </w:tabs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Проверяемый период:      с 10 апреля 2020 года по 22 ноября 2021 года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ab/>
      </w:r>
    </w:p>
    <w:p>
      <w:pPr>
        <w:pBdr>
          <w:top w:val="single" w:sz="4" w:space="1"/>
        </w:pBdr>
        <w:spacing w:before="0" w:after="0" w:line="240" w:lineRule="auto"/>
        <w:ind w:left="2926" w:right="113" w:firstLine="0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u w:val="single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Контрольное мероприятие проведено: </w:t>
      </w:r>
      <w:r>
        <w:rPr>
          <w:rFonts w:ascii="Segoe UI" w:hAnsi="Segoe UI" w:eastAsia="Segoe UI" w:cs="Segoe UI"/>
          <w:sz w:val="22"/>
          <w:szCs w:val="22"/>
          <w:u w:val="single"/>
          <w:lang w:val="ru-RU" w:bidi="ru-RU"/>
        </w:rPr>
        <w:t xml:space="preserve">Проверочной группой:</w:t>
      </w: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u w:val="single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(проверочной (ревизионной) группой (уполномоченным на проведение контрольного мероприятия должностным лицом)</w:t>
      </w:r>
    </w:p>
    <w:p>
      <w:pPr>
        <w:spacing w:before="0" w:after="0" w:line="240" w:lineRule="auto"/>
        <w:ind w:left="0" w:right="0" w:firstLine="0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Главным бухгалтером – начальником бюджетно-финансового отдела С.В. Клениной, главным специалистом бюджетно-финансового отдела А.С. Гусевой</w:t>
      </w: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(указываются должности, фамилии, инициалы</w:t>
      </w:r>
    </w:p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4"/>
          <w:szCs w:val="24"/>
          <w:lang w:val="ru-RU" w:bidi="ru-RU"/>
        </w:rPr>
        <w:tab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лиц (лица), уполномоченных(ого) на проведение контрольного мероприятия)</w:t>
      </w: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К проведению контрольного мероприятия привлекались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Segoe UI" w:hAnsi="Segoe UI" w:eastAsia="Segoe UI" w:cs="Segoe UI"/>
          <w:sz w:val="24"/>
          <w:szCs w:val="24"/>
          <w:vertAlign w:val="superscript"/>
          <w:lang w:val="ru-RU" w:bidi="ru-RU"/>
        </w:rPr>
        <w:footnoteReference w:id="3"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:  </w:t>
      </w:r>
    </w:p>
    <w:p>
      <w:pPr>
        <w:pBdr>
          <w:top w:val="single" w:sz="4" w:space="1"/>
        </w:pBdr>
        <w:spacing w:before="0" w:after="0" w:line="240" w:lineRule="auto"/>
        <w:ind w:left="6674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(указываются фамилии, инициалы,</w:t>
      </w: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both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</w:t>
      </w:r>
    </w:p>
    <w:p>
      <w:pPr>
        <w:keepLines/>
        <w:pBdr>
          <w:top w:val="single" w:sz="4" w:space="1"/>
        </w:pBdr>
        <w:spacing w:before="0" w:after="0" w:line="240" w:lineRule="auto"/>
        <w:ind w:left="0" w:right="113" w:firstLine="0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в соответствии с подпунктом «г» пункта 3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</w:t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 </w:t>
      </w:r>
      <w:r>
        <w:rPr>
          <w:rStyle w:val="Style_21"/>
          <w:rFonts w:ascii="Segoe UI" w:hAnsi="Segoe UI" w:eastAsia="Segoe UI" w:cs="Segoe UI"/>
          <w:sz w:val="18"/>
          <w:szCs w:val="18"/>
          <w:vertAlign w:val="superscript"/>
          <w:lang w:val="ru-RU" w:bidi="ru-RU"/>
        </w:rPr>
        <w:footnoteReference w:id="4"/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)</w:t>
      </w: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При проведении контрольного мероприятия проведено(ы)  </w:t>
      </w:r>
    </w:p>
    <w:p>
      <w:pPr>
        <w:pBdr>
          <w:top w:val="single" w:sz="4" w:space="1"/>
        </w:pBdr>
        <w:spacing w:before="0" w:after="0" w:line="240" w:lineRule="auto"/>
        <w:ind w:left="6677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(указываются экспертизы, контрольные</w:t>
      </w:r>
    </w:p>
    <w:p>
      <w:pPr>
        <w:spacing w:before="0" w:after="0" w:line="240" w:lineRule="auto"/>
        <w:ind w:left="0" w:right="-1" w:firstLine="567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Проверочной группой с 24 октября по 22 ноября 2022 года</w:t>
      </w:r>
      <w:r>
        <w:rPr>
          <w:rFonts w:ascii="Segoe UI" w:hAnsi="Segoe UI" w:eastAsia="Segoe UI" w:cs="Segoe UI"/>
          <w:color w:val="000000"/>
          <w:sz w:val="22"/>
          <w:szCs w:val="22"/>
          <w:lang w:val="ru-RU" w:bidi="ru-RU"/>
        </w:rPr>
        <w:t xml:space="preserve"> 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осуществлены контрольные действия по документальному изучению документов, касающихся проверки: запросов коммерческих предложений, коммерческих предложений контрагентов в отношении Контрактной службы</w:t>
      </w: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действия, проведенные в рамках контрольного мероприятия (в соответствии с пунктами 18, 19 федерального</w:t>
      </w:r>
    </w:p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стандарта № 1235), с указанием сроков их проведения, предмета, а также сведений (фамилия, имя, отчество (при наличии))</w:t>
      </w:r>
    </w:p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4"/>
          <w:szCs w:val="24"/>
          <w:lang w:val="ru-RU" w:bidi="ru-RU"/>
        </w:rPr>
        <w:tab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о лицах (лице), их проводивших(ого))</w:t>
      </w: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В рамках контрольного мероприятия проведена встречная проверка (обследование)</w:t>
      </w:r>
      <w:r>
        <w:rPr>
          <w:rStyle w:val="Style_21"/>
          <w:rFonts w:ascii="Segoe UI" w:hAnsi="Segoe UI" w:eastAsia="Segoe UI" w:cs="Segoe UI"/>
          <w:sz w:val="22"/>
          <w:szCs w:val="22"/>
          <w:vertAlign w:val="superscript"/>
          <w:lang w:val="ru-RU" w:bidi="ru-RU"/>
        </w:rPr>
        <w:footnoteReference w:id="5"/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  </w:t>
      </w:r>
    </w:p>
    <w:p>
      <w:pPr>
        <w:pBdr>
          <w:top w:val="single" w:sz="4" w:space="1"/>
        </w:pBdr>
        <w:spacing w:before="0" w:after="0" w:line="240" w:lineRule="auto"/>
        <w:ind w:left="8789" w:right="0" w:firstLine="0"/>
        <w:jc w:val="left"/>
        <w:rPr>
          <w:rFonts w:ascii="Segoe UI" w:hAnsi="Segoe UI" w:eastAsia="Segoe UI" w:cs="Segoe UI"/>
          <w:sz w:val="2"/>
          <w:szCs w:val="2"/>
          <w:lang w:val="ru-RU" w:bidi="ru-RU"/>
        </w:rPr>
      </w:pPr>
    </w:p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4"/>
          <w:szCs w:val="24"/>
          <w:lang w:val="ru-RU" w:bidi="ru-RU"/>
        </w:rPr>
        <w:tab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(указывается наименование объекта встречной проверки (объекта контроля)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Срок проведения контрольного мероприятия, не включая периоды его приостановления, 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br/>
      </w:r>
    </w:p>
    <w:tbl>
      <w:tblPr>
        <w:tblStyle w:val="Style_11"/>
        <w:tblW w:w="100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1049"/>
        <w:gridCol w:w="510"/>
        <w:gridCol w:w="1843"/>
        <w:gridCol w:w="397"/>
        <w:gridCol w:w="227"/>
        <w:gridCol w:w="1077"/>
        <w:gridCol w:w="369"/>
        <w:gridCol w:w="369"/>
        <w:gridCol w:w="1049"/>
        <w:gridCol w:w="397"/>
        <w:gridCol w:w="227"/>
        <w:gridCol w:w="1077"/>
        <w:gridCol w:w="369"/>
        <w:gridCol w:w="369"/>
        <w:gridCol w:w="680"/>
      </w:tblGrid>
      <w:tr>
        <w:tc>
          <w:tcPr>
            <w:tcW w:w="104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составил</w:t>
            </w:r>
          </w:p>
        </w:tc>
        <w:tc>
          <w:tcPr>
            <w:tcW w:w="510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14</w:t>
            </w:r>
          </w:p>
        </w:tc>
        <w:tc>
          <w:tcPr>
            <w:tcW w:w="1843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рабочих дней с «</w:t>
            </w:r>
          </w:p>
        </w:tc>
        <w:tc>
          <w:tcPr>
            <w:tcW w:w="39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24</w:t>
            </w:r>
          </w:p>
        </w:tc>
        <w:tc>
          <w:tcPr>
            <w:tcW w:w="22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»</w:t>
            </w:r>
          </w:p>
        </w:tc>
        <w:tc>
          <w:tcPr>
            <w:tcW w:w="107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октября</w:t>
            </w:r>
          </w:p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104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года по «</w:t>
            </w:r>
          </w:p>
        </w:tc>
        <w:tc>
          <w:tcPr>
            <w:tcW w:w="39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22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»</w:t>
            </w:r>
          </w:p>
        </w:tc>
        <w:tc>
          <w:tcPr>
            <w:tcW w:w="107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ноября</w:t>
            </w:r>
          </w:p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68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года.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"/>
          <w:szCs w:val="2"/>
          <w:lang w:val="ru-RU" w:bidi="ru-RU"/>
        </w:rPr>
      </w:pPr>
    </w:p>
    <w:tbl>
      <w:tblPr>
        <w:tblStyle w:val="Style_11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350"/>
        <w:gridCol w:w="181"/>
        <w:gridCol w:w="397"/>
        <w:gridCol w:w="227"/>
        <w:gridCol w:w="1038"/>
        <w:gridCol w:w="369"/>
        <w:gridCol w:w="369"/>
        <w:gridCol w:w="2041"/>
        <w:gridCol w:w="1719"/>
        <w:gridCol w:w="227"/>
        <w:gridCol w:w="1021"/>
        <w:gridCol w:w="369"/>
        <w:gridCol w:w="369"/>
        <w:gridCol w:w="680"/>
        <w:gridCol w:w="633"/>
      </w:tblGrid>
      <w:tr>
        <w:trPr>
          <w:gridAfter w:val="1"/>
        </w:trPr>
        <w:tc>
          <w:tcPr>
            <w:tcW w:w="6691" w:type="dxa"/>
            <w:gridSpan w:val="9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567"/>
              <w:jc w:val="left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Проведение контрольного мероприятия приостанавливалось</w:t>
            </w: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 </w:t>
            </w:r>
            <w:r>
              <w:rPr>
                <w:rStyle w:val="Style_21"/>
                <w:rFonts w:ascii="Segoe UI" w:hAnsi="Segoe UI" w:eastAsia="Segoe UI" w:cs="Segoe UI"/>
                <w:spacing w:val="-6"/>
                <w:sz w:val="22"/>
                <w:szCs w:val="22"/>
                <w:vertAlign w:val="superscript"/>
                <w:lang w:val="ru-RU" w:bidi="ru-RU"/>
              </w:rPr>
              <w:footnoteReference w:id="6"/>
            </w: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 с « 10</w:t>
            </w:r>
          </w:p>
        </w:tc>
        <w:tc>
          <w:tcPr>
            <w:tcW w:w="22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»</w:t>
            </w:r>
          </w:p>
        </w:tc>
        <w:tc>
          <w:tcPr>
            <w:tcW w:w="1021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ноября</w:t>
            </w:r>
          </w:p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68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6"/>
                <w:sz w:val="22"/>
                <w:szCs w:val="22"/>
                <w:lang w:val="ru-RU" w:bidi="ru-RU"/>
              </w:rPr>
              <w:t xml:space="preserve">года</w:t>
            </w:r>
          </w:p>
        </w:tc>
      </w:tr>
      <w:tr>
        <w:tc>
          <w:tcPr>
            <w:tcW w:w="35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по</w:t>
            </w:r>
          </w:p>
        </w:tc>
        <w:tc>
          <w:tcPr>
            <w:tcW w:w="181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«</w:t>
            </w:r>
          </w:p>
        </w:tc>
        <w:tc>
          <w:tcPr>
            <w:tcW w:w="397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227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»</w:t>
            </w:r>
          </w:p>
        </w:tc>
        <w:tc>
          <w:tcPr>
            <w:tcW w:w="1038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ноября</w:t>
            </w:r>
          </w:p>
        </w:tc>
        <w:tc>
          <w:tcPr>
            <w:tcW w:w="369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20</w:t>
            </w:r>
          </w:p>
        </w:tc>
        <w:tc>
          <w:tcPr>
            <w:tcW w:w="369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22</w:t>
            </w:r>
          </w:p>
        </w:tc>
        <w:tc>
          <w:tcPr>
            <w:tcW w:w="2041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года на основании:</w:t>
            </w:r>
          </w:p>
        </w:tc>
        <w:tc>
          <w:tcPr>
            <w:tcW w:w="5018" w:type="dxa"/>
            <w:gridSpan w:val="7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22"/>
                <w:szCs w:val="22"/>
                <w:lang w:val="ru-RU" w:bidi="ru-RU"/>
              </w:rPr>
              <w:t xml:space="preserve">Распоряжение местной администрации </w:t>
            </w:r>
          </w:p>
        </w:tc>
      </w:tr>
      <w:tr>
        <w:tc>
          <w:tcPr>
            <w:tcW w:w="350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181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397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227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1038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369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righ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369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2041" w:type="dxa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</w:p>
        </w:tc>
        <w:tc>
          <w:tcPr>
            <w:tcW w:w="5018" w:type="dxa"/>
            <w:gridSpan w:val="7"/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</w:pPr>
            <w:r>
              <w:rPr>
                <w:rFonts w:ascii="Segoe UI" w:hAnsi="Segoe UI" w:eastAsia="Segoe UI" w:cs="Segoe UI"/>
                <w:spacing w:val="-2"/>
                <w:sz w:val="18"/>
                <w:szCs w:val="18"/>
                <w:lang w:val="ru-RU" w:bidi="ru-RU"/>
              </w:rPr>
              <w:t xml:space="preserve">(указываются наименование и реквизиты приказа(ов) </w:t>
            </w:r>
          </w:p>
        </w:tc>
      </w:tr>
    </w:tbl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pacing w:val="-2"/>
          <w:sz w:val="22"/>
          <w:szCs w:val="22"/>
          <w:lang w:val="ru-RU" w:bidi="ru-RU"/>
        </w:rPr>
        <w:t xml:space="preserve">от 10.11.2022 № 49-2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ab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pacing w:val="-2"/>
          <w:sz w:val="18"/>
          <w:szCs w:val="18"/>
          <w:lang w:val="ru-RU" w:bidi="ru-RU"/>
        </w:rPr>
        <w:t xml:space="preserve">(распоряжения(ий)) </w:t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органа контроля о приостановлении контрольного мероприятия)</w:t>
      </w:r>
    </w:p>
    <w:tbl>
      <w:tblPr>
        <w:tblStyle w:val="Style_11"/>
        <w:tblW w:w="101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6974"/>
        <w:gridCol w:w="1191"/>
        <w:gridCol w:w="1985"/>
      </w:tblGrid>
      <w:tr>
        <w:tc>
          <w:tcPr>
            <w:tcW w:w="6974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567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Срок проведения контрольного мероприятия продлевался на</w:t>
            </w:r>
          </w:p>
        </w:tc>
        <w:tc>
          <w:tcPr>
            <w:tcW w:w="1191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</w:p>
        </w:tc>
        <w:tc>
          <w:tcPr>
            <w:tcW w:w="1985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57" w:right="0" w:firstLine="0"/>
              <w:jc w:val="left"/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</w:pPr>
            <w:r>
              <w:rPr>
                <w:rFonts w:ascii="Segoe UI" w:hAnsi="Segoe UI" w:eastAsia="Segoe UI" w:cs="Segoe UI"/>
                <w:sz w:val="22"/>
                <w:szCs w:val="22"/>
                <w:lang w:val="ru-RU" w:bidi="ru-RU"/>
              </w:rPr>
              <w:t xml:space="preserve">рабочих дней на</w:t>
            </w:r>
          </w:p>
        </w:tc>
      </w:tr>
    </w:tbl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основании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Segoe UI" w:hAnsi="Segoe UI" w:eastAsia="Segoe UI" w:cs="Segoe UI"/>
          <w:sz w:val="24"/>
          <w:szCs w:val="24"/>
          <w:vertAlign w:val="superscript"/>
          <w:lang w:val="ru-RU" w:bidi="ru-RU"/>
        </w:rPr>
        <w:footnoteReference w:id="7"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 </w:t>
      </w:r>
    </w:p>
    <w:p>
      <w:pPr>
        <w:pBdr>
          <w:top w:val="single" w:sz="4" w:space="1"/>
        </w:pBdr>
        <w:spacing w:before="0" w:after="0" w:line="240" w:lineRule="auto"/>
        <w:ind w:left="1332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(указываются наименование и реквизиты приказа(ов) (распоряжения(ий)) органа контроля</w:t>
      </w:r>
    </w:p>
    <w:p>
      <w:pPr>
        <w:tabs>
          <w:tab w:val="right" w:pos="9923"/>
        </w:tabs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4"/>
          <w:szCs w:val="24"/>
          <w:lang w:val="ru-RU" w:bidi="ru-RU"/>
        </w:rPr>
        <w:tab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о продлении срока проведения контрольного мероприятия)</w:t>
      </w:r>
    </w:p>
    <w:p>
      <w:pPr>
        <w:tabs>
          <w:tab w:val="left" w:pos="524"/>
        </w:tabs>
        <w:spacing w:before="0" w:after="0" w:line="240" w:lineRule="auto"/>
        <w:ind w:left="0" w:right="-1" w:firstLine="567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Общие сведения об объекте контроля (объекте встречной проверки)</w:t>
      </w:r>
      <w:r>
        <w:rPr>
          <w:rStyle w:val="Style_21"/>
          <w:rFonts w:ascii="Segoe UI" w:hAnsi="Segoe UI" w:eastAsia="Segoe UI" w:cs="Segoe UI"/>
          <w:sz w:val="22"/>
          <w:szCs w:val="22"/>
          <w:vertAlign w:val="superscript"/>
          <w:lang w:val="ru-RU" w:bidi="ru-RU"/>
        </w:rPr>
        <w:footnoteReference w:id="8"/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:</w:t>
      </w:r>
      <w:r>
        <w:rPr>
          <w:rFonts w:ascii="Segoe UI" w:hAnsi="Segoe UI" w:eastAsia="Segoe UI" w:cs="Segoe UI"/>
          <w:b/>
          <w:bCs/>
          <w:sz w:val="22"/>
          <w:szCs w:val="22"/>
          <w:lang w:val="ru-RU" w:bidi="ru-RU"/>
        </w:rPr>
        <w:t xml:space="preserve"> 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Контрактная служба местной администрации внутригородского муниципального образования города федерального значения Санкт-Петербурга поселок Лисий Нос, (распоряжение от 11.01.2021 № 1/5, от 01.03.2022 № 17)</w:t>
      </w:r>
    </w:p>
    <w:p>
      <w:pPr>
        <w:spacing w:before="0" w:after="0" w:line="240" w:lineRule="auto"/>
        <w:ind w:left="0" w:right="0" w:firstLine="567"/>
        <w:jc w:val="left"/>
        <w:rPr>
          <w:rFonts w:ascii="Segoe UI" w:hAnsi="Segoe UI" w:eastAsia="Segoe UI" w:cs="Segoe UI"/>
          <w:sz w:val="22"/>
          <w:szCs w:val="22"/>
          <w:lang w:val="ru-RU" w:bidi="ru-RU"/>
        </w:rPr>
      </w:pP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Настоящим контрольным мероприятием установлено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: </w:t>
      </w:r>
      <w:r>
        <w:rPr>
          <w:rFonts w:ascii="Segoe UI" w:hAnsi="Segoe UI" w:eastAsia="Segoe UI" w:cs="Segoe UI"/>
          <w:color w:val="000000"/>
          <w:sz w:val="22"/>
          <w:szCs w:val="22"/>
          <w:lang w:val="ru-RU" w:bidi="ru-RU"/>
        </w:rPr>
        <w:t xml:space="preserve">В ходе контрольных действий по документальной 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проверке установлено, что 04.10.2022 в адрес местной администрации поступило письмо Комитета государственного финансового контроля Санкт-Петербурга (исх. № 12-19-3401/22-0-0 от 26.09.2022) для рассмотрения по существу письма УФАС по Санкт-Петербургу (исх. № 78/20911/22 от 12.09.2022) и материалов проверки на 40 л. по обоснованию НМЦК по закупкам на благоустройство, уборку и содержание дорог, таким как: №№ 0172300011220000004, 0172300011220000008, 0172300011220000007, 0172300011220000020, 0172300011220000021, 0172300011221000009, 017230001122000020, 0172300011221000019.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К материалам проверки были приобщены следующие документы: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01.04.2020 № 155/01-22 и коммерческие предложения: ООО «Трефолиум» от 13.04.2020 № 13/04-01, ООО «Арника» от 13.04.2020; ООО «Дорожник СПб» от 13.04.2020 № 6.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01.09.2020 № 513/01-22 и коммерческие предложения: ООО «ГК Спецпроект» от 04.09.2020 № б/н; ООО «СтройИнвестМО» от 04.09.2020 № 04/09-1; ООО «Строительный Участок – 150» от 04.09.2020 № б/н.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01.09.2020 № 512/01-22 и коммерческие предложения: ООО «ГК Спецпроект» от 04.09.2020 № б/н; ООО «СтройИнвестМО» от 04.09.2020 № 04/09-2; ООО «Строительный Участок – 150» от 04.09.2020 № б/н.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15.12.2020 № 880/01-22 и коммерческие предложения: ООО «ГК Спецпроект» от 18.12.2020 № б/н; ООО «СтройИнвестМО» от 18.12.2020 № 18/12-02; ООО «Строительный Участок – 150» от 18.12.2020 № б/н.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16.12.2020 № 882/01-22 и коммерческие предложения: ООО «ГК Спецпроект» от 18.12.2020 № б/н; ООО «СтройИнвестМО» от 18.12.2020 № 18/12-01; ООО «Строительный Участок – 150» от 18.12.2020 № б/н.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19.04.2021 № 335/01-22 и коммерческие предложения: ООО «Дорожник СПб» от 22.04.2021 № 8; ООО «Трифолиум» от 22.04.2021 № 22/04-01; ООО «СК Петро строй» от 22.04.2022 № 25.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22.11.2021 № 824/01-22 и коммерческие предложения: ООО «Трефолиум» от 26.11.2021 № 02/12-01; ООО «СтройИнвестМО» от 26.11.2021 № 26/11-01; ООО «Строительный Участок – 150» от 26.11.2021 № 112.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сопроводительное письмо от 22.11.2021 № 819/01-22 и коммерческие предложения: ООО «Трефолиум» от 26.11.2021 № 01/12-01; ООО «СтройИнвестМО» от 26.11.2021 № 3/11-21; ООО «Строительный Участок – 150» от 26.11.2021 № 113.</w:t>
      </w:r>
    </w:p>
    <w:p>
      <w:pPr>
        <w:pStyle w:val="Style_30"/>
        <w:spacing w:before="0" w:after="0" w:line="240" w:lineRule="auto"/>
        <w:ind w:left="0" w:right="0" w:firstLine="705"/>
        <w:contextualSpacing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Согласно пунктам 3.1. и 3.2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постановлением Правительства РФ от 02.10.2013 № 567, в соответствии с </w:t>
      </w:r>
      <w:hyperlink r:id="rId9">
        <w:r>
          <w:rPr>
            <w:rFonts w:ascii="Segoe UI" w:hAnsi="Segoe UI" w:eastAsia="Segoe UI" w:cs="Segoe UI"/>
            <w:sz w:val="22"/>
            <w:szCs w:val="22"/>
            <w:lang w:val="ru-RU" w:bidi="en-US"/>
          </w:rPr>
          <w:t xml:space="preserve">частью 20 статьи 22</w:t>
        </w:r>
      </w:hyperlink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метод сопоставимых рыночных цен (анализа рынка) заключается в установлении НМЦК на основании информации о рыночных ценах (далее - ценовая информация) идентичных товаров, работ, услуг, планируемых к закупкам, или при их отсутствии однородных товаров, работ, услуг. Метод сопоставимых рыночных цен (анализа рынка) является приоритетным для определения и обоснования НМЦК.</w:t>
      </w: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Согласно пункту 3.7 Методических рекомендаций в целях получения ценовой информации в отношении товара, работы, услуги для определения НМЦК рекомендуется осуществить несколько следующих процедур: направить запросы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 осуществить сбор и анализ общедоступной ценовой информации, к которой относится в том числе: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офертами.</w:t>
      </w: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</w:p>
    <w:p>
      <w:pPr>
        <w:spacing w:before="0" w:after="0" w:line="240" w:lineRule="auto"/>
        <w:ind w:left="0" w:right="0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Частью 3 статьи 38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установлено, что контрактная служба действует в соответствии с положением (регламентом), разработанным и утвержденным на основании </w:t>
      </w:r>
      <w:hyperlink r:id="rId10">
        <w:r>
          <w:rPr>
            <w:rFonts w:ascii="Segoe UI" w:hAnsi="Segoe UI" w:eastAsia="Segoe UI" w:cs="Segoe UI"/>
            <w:sz w:val="22"/>
            <w:szCs w:val="22"/>
            <w:lang w:val="ru-RU" w:bidi="en-US"/>
          </w:rPr>
          <w:t xml:space="preserve">типового положения</w:t>
        </w:r>
      </w:hyperlink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 (регламента), утвержденного федеральным органом исполнительной власти по регулированию контрактной системы в сфере закупок.</w:t>
      </w: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Пунктом 3.2.2.1 Типового положения (регламента) о контрактной службе, утвержденного Приказом Минфина России от 31.07.2020 № 158н, установлено, что в функции и полномочия контрактной службы входит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начальных сумм цен единиц товаров, работ, услуг, максимального значения цены контракта.</w:t>
      </w: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</w:p>
    <w:p>
      <w:pPr>
        <w:spacing w:before="0" w:after="0" w:line="240" w:lineRule="auto"/>
        <w:ind w:left="0" w:right="0" w:firstLine="705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Руководителям контрактной службы были направлены запросы (от 25.10.2022 № 712/01-21, от 03.11.2022 № 763/01-21) о предоставлении документов и информации, послужившими обоснованием НМЦК по закупкам на благоустройство, уборку и содержание дорог, указанных выше электронных торгов.</w:t>
      </w: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 (описание с учетом требований пунктов 50 - 52 федерального стандарта № 1235 проведенной работы, ответственных должностных лиц объекта контроля (объекта встречной проверки), а также иные факты, установленные в ходе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</w:t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контрольного мероприятия)</w:t>
      </w:r>
    </w:p>
    <w:p>
      <w:pPr>
        <w:spacing w:before="0" w:after="0" w:line="240" w:lineRule="auto"/>
        <w:ind w:left="0" w:right="0" w:firstLine="709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Информация о результатах контрольного мероприятия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: </w:t>
      </w:r>
      <w:r>
        <w:rPr>
          <w:rFonts w:ascii="Segoe UI" w:hAnsi="Segoe UI" w:eastAsia="Segoe UI" w:cs="Segoe UI"/>
          <w:sz w:val="23"/>
          <w:szCs w:val="23"/>
          <w:lang w:val="ru-RU" w:bidi="ru-RU"/>
        </w:rPr>
        <w:t xml:space="preserve">При проведении внеплановой камеральной проверки по документальному изучению документов, касающихся</w:t>
      </w: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,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начальных сумм цен единиц товаров, работ, услуг, максимального значения цены контракта</w:t>
      </w:r>
      <w:r>
        <w:rPr>
          <w:rFonts w:ascii="Segoe UI" w:hAnsi="Segoe UI" w:eastAsia="Segoe UI" w:cs="Segoe UI"/>
          <w:sz w:val="24"/>
          <w:szCs w:val="24"/>
          <w:lang w:val="ru-RU" w:bidi="en-US"/>
        </w:rPr>
        <w:t xml:space="preserve"> </w:t>
      </w: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выявлены</w:t>
      </w:r>
      <w:r>
        <w:rPr>
          <w:rFonts w:ascii="Segoe UI" w:hAnsi="Segoe UI" w:eastAsia="Segoe UI" w:cs="Segoe UI"/>
          <w:sz w:val="24"/>
          <w:szCs w:val="24"/>
          <w:lang w:val="ru-RU" w:bidi="en-US"/>
        </w:rPr>
        <w:t xml:space="preserve"> </w:t>
      </w:r>
      <w:r>
        <w:rPr>
          <w:rFonts w:ascii="Segoe UI" w:hAnsi="Segoe UI" w:eastAsia="Segoe UI" w:cs="Segoe UI"/>
          <w:sz w:val="23"/>
          <w:szCs w:val="23"/>
          <w:lang w:val="ru-RU" w:bidi="ru-RU"/>
        </w:rPr>
        <w:t xml:space="preserve">нарушения</w:t>
      </w: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 пункта 3.7 Методических рекомендаций, утвержденных постановлением Правительства РФ от 02.10.2013 № 567. Запросы о предоставлении ценовой информации направлены трем поставщикам</w:t>
      </w:r>
      <w:r>
        <w:rPr>
          <w:rFonts w:ascii="Segoe UI" w:hAnsi="Segoe UI" w:eastAsia="Segoe UI" w:cs="Segoe UI"/>
          <w:sz w:val="22"/>
          <w:szCs w:val="22"/>
          <w:u w:val="single"/>
          <w:lang w:val="ru-RU" w:bidi="en-US"/>
        </w:rPr>
        <w:t xml:space="preserve"> (подрядчикам, исполнителям) вместо не менее  пяти.</w:t>
      </w: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_____________________________________________________ </w:t>
      </w:r>
    </w:p>
    <w:p>
      <w:pPr>
        <w:spacing w:before="0" w:after="0" w:line="240" w:lineRule="auto"/>
        <w:ind w:left="0" w:right="-1" w:firstLine="852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  <w:r>
        <w:rPr>
          <w:rFonts w:ascii="Segoe UI" w:hAnsi="Segoe UI" w:eastAsia="Segoe UI" w:cs="Segoe UI"/>
          <w:sz w:val="18"/>
          <w:szCs w:val="18"/>
          <w:lang w:val="ru-RU" w:bidi="ru-RU"/>
        </w:rPr>
        <w:t xml:space="preserve">(указывается информация с учетом требований, установленных пунктом 52 федерального стандарта № 1235, о наличии (отсутствии) выявленных нарушений по каждому вопросу контрольного мероприятия с указанием документов (материалов), на основании которых сделаны выводы о нарушениях, положения (с указанием частей, пунктов, подпунктов) законодательных и иных нормативных правовых актов Российской Федерации, правовых актов, договоров (соглашений), являющихся основаниями предоставления бюджетных средств, которые нарушены)</w:t>
      </w:r>
    </w:p>
    <w:p>
      <w:pPr>
        <w:spacing w:before="0" w:after="0" w:line="240" w:lineRule="auto"/>
        <w:ind w:left="0" w:right="-1" w:firstLine="852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Предложить контрактной службе:</w:t>
      </w: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- соблюдать требования части 20 статьи 22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в отношении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постановлением Правительства РФ от 02.10.2013 № 567;</w:t>
      </w: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- обеспечить направление запросов о предоставлении ценовой информации не менее пяти поставщикам (подрядчикам, исполнителям), обладающим опытом поставок соответствующих товаров, работ, услуг, информация о которых имеется в свободном доступе (в частности, опубликована в печати, размещена на сайтах в сети "Интернет"); осуществить сбор и анализ общедоступной ценовой информации, к которой относится в том числе: информация о ценах товаров, работ, услуг, содержащаяся в рекламе, каталогах, описаниях товаров и в других предложениях, обращенных к неопределенному кругу лиц, в том числе признаваемых в соответствии с гражданским законодательством публичными офертами.</w:t>
      </w: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Вывод:</w:t>
      </w: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en-US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- в связи с тем, что проверяемый период касался бюджетных отношений 2020 и 2021 годов предписания (представления) не выдавать;</w:t>
      </w:r>
    </w:p>
    <w:p>
      <w:pPr>
        <w:spacing w:before="0" w:after="0" w:line="240" w:lineRule="auto"/>
        <w:ind w:left="0" w:right="-1" w:firstLine="709"/>
        <w:jc w:val="both"/>
        <w:rPr>
          <w:rFonts w:ascii="Segoe UI" w:hAnsi="Segoe UI" w:eastAsia="Segoe UI" w:cs="Segoe UI"/>
          <w:sz w:val="22"/>
          <w:szCs w:val="22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en-US"/>
        </w:rPr>
        <w:t xml:space="preserve">- в связи с истечением срока давности привлечения к административной ответственности, предусмотренной ст. 4.5 КоАП РФ, протоколов об административных правонарушениях не составлять. </w:t>
      </w:r>
    </w:p>
    <w:p>
      <w:pPr>
        <w:spacing w:before="0" w:after="0" w:line="240" w:lineRule="auto"/>
        <w:ind w:left="0" w:right="-1" w:firstLine="852"/>
        <w:jc w:val="both"/>
        <w:rPr>
          <w:rFonts w:ascii="Segoe UI" w:hAnsi="Segoe UI" w:eastAsia="Segoe UI" w:cs="Segoe UI"/>
          <w:sz w:val="18"/>
          <w:szCs w:val="18"/>
          <w:lang w:val="ru-RU" w:bidi="ru-RU"/>
        </w:rPr>
      </w:pPr>
    </w:p>
    <w:p>
      <w:pPr>
        <w:spacing w:before="0" w:after="0" w:line="240" w:lineRule="auto"/>
        <w:ind w:left="0" w:right="0" w:firstLine="709"/>
        <w:jc w:val="both"/>
        <w:rPr>
          <w:rFonts w:ascii="Segoe UI" w:hAnsi="Segoe UI" w:eastAsia="Segoe UI" w:cs="Segoe UI"/>
          <w:sz w:val="24"/>
          <w:szCs w:val="24"/>
          <w:lang w:val="ru-RU" w:bidi="ru-RU"/>
        </w:rPr>
      </w:pPr>
      <w:r>
        <w:rPr>
          <w:rFonts w:ascii="Segoe UI" w:hAnsi="Segoe UI" w:eastAsia="Segoe UI" w:cs="Segoe UI"/>
          <w:sz w:val="22"/>
          <w:szCs w:val="22"/>
          <w:lang w:val="ru-RU" w:bidi="ru-RU"/>
        </w:rPr>
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</w:t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Segoe UI" w:hAnsi="Segoe UI" w:eastAsia="Segoe UI" w:cs="Segoe UI"/>
          <w:sz w:val="24"/>
          <w:szCs w:val="24"/>
          <w:vertAlign w:val="superscript"/>
          <w:lang w:val="ru-RU" w:bidi="ru-RU"/>
        </w:rPr>
        <w:footnoteReference w:id="9"/>
      </w:r>
      <w:r>
        <w:rPr>
          <w:rFonts w:ascii="Segoe UI" w:hAnsi="Segoe UI" w:eastAsia="Segoe UI" w:cs="Segoe UI"/>
          <w:sz w:val="24"/>
          <w:szCs w:val="24"/>
          <w:lang w:val="ru-RU" w:bidi="ru-RU"/>
        </w:rPr>
        <w:t xml:space="preserve">.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4"/>
          <w:szCs w:val="24"/>
          <w:lang w:val="ru-RU" w:bidi="ru-RU"/>
        </w:rPr>
      </w:pPr>
    </w:p>
    <w:p>
      <w:pPr>
        <w:pStyle w:val="Style_26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Приложение: </w:t>
      </w:r>
    </w:p>
    <w:p>
      <w:pPr>
        <w:pStyle w:val="Style_26"/>
        <w:spacing w:before="0" w:after="0" w:line="240" w:lineRule="auto"/>
        <w:ind w:left="0" w:right="0" w:firstLine="709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Сведения о результатах проведения контрольного мероприятия при осуществлении Проверочной группой полномочий по внутреннему муниципальному финансовому контролю к Акту № 1 от «22».11.2022: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en-US"/>
        </w:rPr>
        <w:t xml:space="preserve">- распоряжение местной администрации от 11.10.2022 № 42-1;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письмо Комитета государственного финансового контроля Санкт-Петербурга (исх. № 12-19-3401/22-0-0 от 26.09.2022);</w:t>
      </w:r>
    </w:p>
    <w:p>
      <w:pPr>
        <w:pStyle w:val="Style_2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письмо УФАС по Санкт-Петербургу (исх. № 78/20911/22 от 12.09.2022);</w:t>
      </w:r>
    </w:p>
    <w:p>
      <w:pPr>
        <w:pStyle w:val="Style_2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протоколы заседания проверочной группы от 12.10.2022, от 24.12.2022, от 02.11.2022;</w:t>
      </w:r>
    </w:p>
    <w:p>
      <w:pPr>
        <w:pStyle w:val="Style_2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запрос от 25.10.2022 № 712/01-21;</w:t>
      </w:r>
    </w:p>
    <w:p>
      <w:pPr>
        <w:pStyle w:val="Style_2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запрос от 03.11.2022 № 763/01-21;</w:t>
      </w:r>
    </w:p>
    <w:p>
      <w:pPr>
        <w:pStyle w:val="Style_26"/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- распоряжение местной администрации от 10.11.2022 № 49-2</w:t>
      </w:r>
    </w:p>
    <w:p>
      <w:pPr>
        <w:pBdr>
          <w:top w:val="single" w:sz="4" w:space="1"/>
        </w:pBdr>
        <w:spacing w:before="0" w:after="0" w:line="240" w:lineRule="auto"/>
        <w:ind w:left="2024" w:right="0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(указываются документы, материалы, приобщаемые к акту контрольного мероприятия,</w:t>
      </w:r>
    </w:p>
    <w:p>
      <w:pPr>
        <w:pBdr>
          <w:top w:val="single" w:sz="4" w:space="1"/>
        </w:pBd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в том числе документы (копии документов), подтверждающие нарушения, в соответствии с пунктами 53, 54 федерального</w:t>
      </w:r>
    </w:p>
    <w:p>
      <w:pPr>
        <w:pBdr>
          <w:top w:val="single" w:sz="4" w:space="1"/>
        </w:pBdr>
        <w:spacing w:before="0" w:after="0" w:line="240" w:lineRule="auto"/>
        <w:ind w:left="0" w:right="113" w:firstLine="0"/>
        <w:jc w:val="center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18"/>
          <w:szCs w:val="18"/>
          <w:lang w:val="ru-RU" w:bidi="ru-RU"/>
        </w:rPr>
        <w:t xml:space="preserve">стандарта № 1235)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Руководитель проверочной (ревизионной) группы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br/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(уполномоченное на проведение </w:t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br/>
      </w: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контрольного мероприятия должностное лицо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)</w:t>
      </w:r>
    </w:p>
    <w:tbl>
      <w:tblPr>
        <w:tblStyle w:val="Style_11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8" w:type="dxa"/>
          <w:right w:w="28" w:type="dxa"/>
        </w:tblCellMar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>
        <w:tc>
          <w:tcPr>
            <w:tcW w:w="2892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Главный бухгалтер – начальник бюджетно-финансового отдела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985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«22».11.2022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701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</w:p>
        </w:tc>
        <w:tc>
          <w:tcPr>
            <w:tcW w:w="2892" w:type="dxa"/>
            <w:tcBorders>
              <w:top w:val="none"/>
              <w:left w:val="none"/>
              <w:bottom w:val="single" w:sz="4"/>
              <w:right w:val="none"/>
            </w:tcBorders>
            <w:shd w:val="nil"/>
            <w:textDirection w:val="lrTb"/>
            <w:vAlign w:val="bottom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lang w:val="ru-RU" w:bidi="ru-RU"/>
              </w:rPr>
              <w:t xml:space="preserve">С.В. Кленина</w:t>
            </w:r>
          </w:p>
        </w:tc>
      </w:tr>
      <w:tr>
        <w:tc>
          <w:tcPr>
            <w:tcW w:w="2892" w:type="dxa"/>
            <w:tcBorders>
              <w:top w:val="single" w:sz="4"/>
              <w:left w:val="none"/>
              <w:bottom w:val="single" w:sz="4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(должность)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985" w:type="dxa"/>
            <w:tcBorders>
              <w:top w:val="single" w:sz="4"/>
              <w:left w:val="none"/>
              <w:bottom w:val="single" w:sz="4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(дата)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/>
              <w:left w:val="none"/>
              <w:bottom w:val="single" w:sz="4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(подпись)</w:t>
            </w:r>
          </w:p>
        </w:tc>
        <w:tc>
          <w:tcPr>
            <w:tcW w:w="170" w:type="dxa"/>
            <w:tcBorders>
              <w:top w:val="none"/>
              <w:left w:val="none"/>
              <w:bottom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2892" w:type="dxa"/>
            <w:tcBorders>
              <w:top w:val="single" w:sz="4"/>
              <w:left w:val="none"/>
              <w:bottom w:val="single" w:sz="4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  <w:t xml:space="preserve">(инициалы и фамилия)</w:t>
            </w: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</w:tr>
      <w:tr>
        <w:tc>
          <w:tcPr>
            <w:tcW w:w="2892" w:type="dxa"/>
            <w:tcBorders>
              <w:top w:val="single" w:sz="4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70" w:type="dxa"/>
            <w:tcBorders>
              <w:top w:val="none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985" w:type="dxa"/>
            <w:tcBorders>
              <w:top w:val="single" w:sz="4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70" w:type="dxa"/>
            <w:tcBorders>
              <w:top w:val="none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701" w:type="dxa"/>
            <w:tcBorders>
              <w:top w:val="single" w:sz="4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170" w:type="dxa"/>
            <w:tcBorders>
              <w:top w:val="none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  <w:tc>
          <w:tcPr>
            <w:tcW w:w="2892" w:type="dxa"/>
            <w:tcBorders>
              <w:top w:val="single" w:sz="4"/>
              <w:left w:val="none"/>
              <w:right w:val="none"/>
            </w:tcBorders>
            <w:shd w:val="nil"/>
            <w:textDirection w:val="lrTb"/>
            <w:vAlign w:val="top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val="ru-RU" w:bidi="ru-RU"/>
              </w:rPr>
            </w:pPr>
          </w:p>
        </w:tc>
      </w:tr>
    </w:tbl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Копию акта контрольного мероприятия получил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</w:t>
      </w:r>
      <w:r>
        <w:rPr>
          <w:rStyle w:val="Style_21"/>
          <w:rFonts w:ascii="Times New Roman" w:hAnsi="Times New Roman" w:eastAsia="Times New Roman" w:cs="Times New Roman"/>
          <w:sz w:val="24"/>
          <w:szCs w:val="24"/>
          <w:vertAlign w:val="superscript"/>
          <w:lang w:val="ru-RU" w:bidi="ru-RU"/>
        </w:rPr>
        <w:footnoteReference w:id="10"/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: 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Руководитель контрактной службы местной администрации внутригородского муниципального образования города федерального значения Санкт-Петербурга поселок Лисий Нос</w:t>
      </w:r>
    </w:p>
    <w:p>
      <w:pPr>
        <w:spacing w:before="0" w:after="0" w:line="240" w:lineRule="auto"/>
        <w:ind w:left="0" w:right="0" w:firstLine="720"/>
        <w:jc w:val="both"/>
        <w:rPr>
          <w:rFonts w:ascii="Times New Roman" w:hAnsi="Times New Roman" w:eastAsia="Times New Roman" w:cs="Times New Roman"/>
          <w:sz w:val="22"/>
          <w:szCs w:val="22"/>
          <w:lang w:val="ru-RU" w:bidi="ru-RU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sz w:val="24"/>
          <w:szCs w:val="24"/>
          <w:lang w:val="ru-RU" w:bidi="ru-RU"/>
        </w:rPr>
      </w:pPr>
      <w:r>
        <w:rPr>
          <w:rFonts w:ascii="Times New Roman" w:hAnsi="Times New Roman" w:eastAsia="Times New Roman" w:cs="Times New Roman"/>
          <w:sz w:val="22"/>
          <w:szCs w:val="22"/>
          <w:lang w:val="ru-RU" w:bidi="ru-RU"/>
        </w:rPr>
        <w:t xml:space="preserve">Сергеева Марина Сергеевна ___________</w:t>
      </w: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ab/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sz w:val="18"/>
          <w:szCs w:val="18"/>
          <w:lang w:val="ru-RU" w:bidi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bidi="ru-RU"/>
        </w:rPr>
        <w:t xml:space="preserve">                                                  </w:t>
      </w:r>
      <w:r>
        <w:rPr>
          <w:rFonts w:ascii="Times New Roman" w:hAnsi="Times New Roman" w:eastAsia="Times New Roman" w:cs="Times New Roman"/>
          <w:sz w:val="16"/>
          <w:szCs w:val="16"/>
          <w:lang w:val="ru-RU" w:bidi="ru-RU"/>
        </w:rPr>
        <w:t xml:space="preserve"> подпись</w:t>
      </w:r>
    </w:p>
    <w:sectPr>
      <w:headerReference w:type="default" r:id="rId8"/>
      <w:footnotePr>
        <w:pos w:val="pageBottom"/>
      </w:footnotePr>
      <w:type w:val="nextPage"/>
      <w:pgSz w:w="11907" w:h="16840"/>
      <w:pgMar w:top="851" w:right="851" w:bottom="567" w:left="1134" w:header="397" w:footer="397" w:gutter="0"/>
      <w:cols w:num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0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separator/>
      </w:r>
    </w:p>
  </w:endnote>
  <w:endnote w:type="continuationSeparator" w:id="1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0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separator/>
      </w:r>
    </w:p>
  </w:footnote>
  <w:footnote w:type="continuationSeparator" w:id="1">
    <w:p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continuationSeparator/>
      </w:r>
    </w:p>
  </w:footnote>
  <w:footnote w:id="2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Постановление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(Собрание законодательства Российской Федерации, 2020, № 34, ст. 5462).</w:t>
      </w:r>
    </w:p>
  </w:footnote>
  <w:footnote w:id="3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en-US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</w:footnote>
  <w:footnote w:id="4">
    <w:p>
      <w:pPr>
        <w:pStyle w:val="Style_19"/>
        <w:keepLines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en-US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Постановление Правительства Российской Федерации от 06.02.2020 № 100 «Об утверждении федерального стандарта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 (Собрание законодательства Российской Федерации, 2020, № 7, ст. 829).</w:t>
      </w:r>
    </w:p>
  </w:footnote>
  <w:footnote w:id="5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</w:footnote>
  <w:footnote w:id="6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Указывается только в случае приостановления контрольного мероприятия.</w:t>
      </w:r>
    </w:p>
  </w:footnote>
  <w:footnote w:id="7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Указывается только в случае продления срока проведения контрольного мероприятия.</w:t>
      </w:r>
    </w:p>
  </w:footnote>
  <w:footnote w:id="8"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Указываются сведения об объекте контроля (объекте встречной проверки), включающие: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сведения об учредителях (участниках) (при наличии);</w:t>
      </w:r>
    </w:p>
    <w:p>
      <w:pPr>
        <w:spacing w:before="0" w:after="0" w:line="240" w:lineRule="auto"/>
        <w:ind w:left="0" w:right="0" w:firstLine="567"/>
        <w:jc w:val="both"/>
        <w:rPr>
          <w:rFonts w:ascii="Segoe UI" w:hAnsi="Segoe UI" w:eastAsia="Segoe UI" w:cs="Segoe UI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</w:footnote>
  <w:footnote w:id="9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Segoe UI" w:hAnsi="Segoe UI" w:eastAsia="Segoe UI" w:cs="Segoe UI"/>
          <w:sz w:val="20"/>
          <w:szCs w:val="20"/>
          <w:vertAlign w:val="superscript"/>
          <w:lang w:val="ru-RU" w:bidi="ru-RU"/>
        </w:rPr>
        <w:footnoteRef/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 </w:t>
      </w:r>
      <w:r>
        <w:rPr>
          <w:rFonts w:ascii="Segoe UI" w:hAnsi="Segoe UI" w:eastAsia="Segoe UI" w:cs="Segoe UI"/>
          <w:sz w:val="20"/>
          <w:szCs w:val="20"/>
          <w:lang w:val="ru-RU" w:bidi="ru-RU"/>
        </w:rPr>
        <w:t xml:space="preserve">Не указывается в случае проведения встречной проверки.</w:t>
      </w:r>
    </w:p>
  </w:footnote>
  <w:footnote w:id="10">
    <w:p>
      <w:pPr>
        <w:pStyle w:val="Style_19"/>
        <w:spacing w:before="0" w:after="0" w:line="240" w:lineRule="auto"/>
        <w:ind w:left="0" w:right="0" w:firstLine="567"/>
        <w:jc w:val="both"/>
        <w:rPr>
          <w:rFonts w:ascii="Times New Roman" w:hAnsi="Times New Roman" w:eastAsia="Times New Roman" w:cs="Times New Roman"/>
          <w:sz w:val="20"/>
          <w:szCs w:val="20"/>
          <w:lang w:val="ru-RU" w:bidi="ru-RU"/>
        </w:rPr>
      </w:pPr>
      <w:r>
        <w:rPr>
          <w:rStyle w:val="Style_21"/>
          <w:rFonts w:ascii="Times New Roman" w:hAnsi="Times New Roman" w:eastAsia="Times New Roman" w:cs="Times New Roman"/>
          <w:sz w:val="20"/>
          <w:szCs w:val="20"/>
          <w:vertAlign w:val="superscript"/>
          <w:lang w:val="ru-RU" w:bidi="ru-RU"/>
        </w:rPr>
        <w:footnoteRef/>
      </w: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val="ru-RU" w:bidi="ru-RU"/>
        </w:rPr>
        <w:t xml:space="preserve">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Style_15"/>
      <w:spacing w:before="0" w:after="0" w:line="240" w:lineRule="auto"/>
      <w:ind w:left="0" w:right="0" w:firstLine="0"/>
      <w:jc w:val="right"/>
      <w:rPr>
        <w:rFonts w:ascii="Segoe UI" w:hAnsi="Segoe UI" w:eastAsia="Segoe UI" w:cs="Segoe UI"/>
        <w:b/>
        <w:bCs/>
        <w:sz w:val="14"/>
        <w:szCs w:val="14"/>
        <w:lang w:val="ru-RU" w:bidi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pageBottom"/>
    <w:footnote w:id="0"/>
    <w:footnote w:id="1"/>
  </w:footnotePr>
  <w:endnotePr>
    <w:pos w:val="docEnd"/>
    <w:endnote w:id="0"/>
    <w:endnote w:id="1"/>
  </w:endnotePr>
  <w:compat>
    <w:forgetLastTabAlignment w:val="true"/>
    <w:doNotUseHTMLParagraphAutoSpacing w:val="true"/>
    <w:compatSetting w:name="compatibilityMode" w:uri="http://schemas.microsoft.com/office/word" w:val="11"/>
  </w:compat>
  <m:mathPr>
    <m:mathFont m:val="Cambria Math"/>
    <m:brkBin m:val="before"/>
    <m:brkBinSub m:val="--"/>
    <m:dispDef m:val="false"/>
    <m:lMargin m:val="0"/>
    <m:rMargin m:val="0"/>
    <m:defJc m:val="center"/>
    <m:wrapIndent m:val="1440"/>
    <m:intLim m:val="subSup"/>
    <m:naryLim m:val="undOvr"/>
  </m:mathPr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</w:rPr>
    </w:rPrDefault>
    <w:pPrDefault>
      <w:pPr>
        <w:spacing w:before="0" w:after="160" w:line="259" w:lineRule="auto"/>
        <w:ind w:left="0" w:right="0"/>
        <w:jc w:val="left"/>
        <w:rPr>
          <w:rFonts w:ascii="Times New Roman" w:hAnsi="Times New Roman" w:eastAsia="Times New Roman" w:cs="Times New Roman"/>
        </w:rP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Style_0" w:default="1">
    <w:name w:val="Normal"/>
    <w:uiPriority w:val="0"/>
    <w:qFormat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0">
    <w:name w:val="Default Paragraph Font"/>
    <w:semiHidden/>
    <w:rPr>
      <w:rFonts w:ascii="Times New Roman" w:hAnsi="Times New Roman" w:eastAsia="Times New Roman" w:cs="Times New Roman"/>
      <w:sz w:val="24"/>
    </w:rPr>
  </w:style>
  <w:style w:type="table" w:styleId="Style_11">
    <w:name w:val="Normal Table"/>
    <w:semiHidden/>
    <w:unhideWhenUsed/>
    <w:qFormat/>
    <w:pPr>
      <w:spacing w:before="0" w:after="160" w:line="259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2"/>
      <w:szCs w:val="22"/>
      <w:lang w:val="ru-RU" w:bidi="ru-RU"/>
    </w:rPr>
    <w:tblPr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108" w:type="dxa"/>
        <w:right w:w="108" w:type="dxa"/>
      </w:tblCellMar>
    </w:tblPr>
  </w:style>
  <w:style w:type="paragraph" w:styleId="Style_15">
    <w:name w:val="header"/>
    <w:basedOn w:val="Style_0"/>
    <w:pPr>
      <w:tabs>
        <w:tab w:val="center" w:pos="4153"/>
        <w:tab w:val="right" w:pos="8306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6">
    <w:name w:val="Верх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17">
    <w:name w:val="footer"/>
    <w:basedOn w:val="Style_0"/>
    <w:pPr>
      <w:tabs>
        <w:tab w:val="center" w:pos="4153"/>
        <w:tab w:val="right" w:pos="8306"/>
      </w:tabs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18">
    <w:name w:val="Нижний колонтитул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paragraph" w:styleId="Style_19">
    <w:name w:val="footnote text"/>
    <w:basedOn w:val="Style_0"/>
    <w:semiHidden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0"/>
      <w:szCs w:val="20"/>
      <w:lang w:val="ru-RU" w:bidi="ru-RU"/>
    </w:rPr>
  </w:style>
  <w:style w:type="character" w:styleId="Style_20">
    <w:name w:val="Текст сноски Знак"/>
    <w:basedOn w:val="Style_10"/>
    <w:semiHidden/>
    <w:locked/>
    <w:rPr>
      <w:rFonts w:ascii="Times New Roman" w:hAnsi="Times New Roman" w:eastAsia="Times New Roman" w:cs="Times New Roman"/>
      <w:sz w:val="20"/>
    </w:rPr>
  </w:style>
  <w:style w:type="character" w:styleId="Style_21">
    <w:name w:val="footnote reference"/>
    <w:basedOn w:val="Style_10"/>
    <w:semiHidden/>
    <w:rPr>
      <w:rFonts w:ascii="Times New Roman" w:hAnsi="Times New Roman" w:eastAsia="Times New Roman" w:cs="Times New Roman"/>
      <w:sz w:val="24"/>
      <w:vertAlign w:val="superscript"/>
    </w:rPr>
  </w:style>
  <w:style w:type="paragraph" w:styleId="Style_22">
    <w:name w:val="ConsNormal"/>
    <w:pPr>
      <w:spacing w:before="0" w:after="0" w:line="240" w:lineRule="auto"/>
      <w:ind w:left="0" w:right="19772"/>
      <w:jc w:val="both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3">
    <w:name w:val="ConsNonformat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4">
    <w:name w:val="ConsDTNormal"/>
    <w:pPr>
      <w:spacing w:before="0" w:after="0" w:line="240" w:lineRule="auto"/>
      <w:ind w:left="0" w:right="0"/>
      <w:jc w:val="both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  <w:style w:type="paragraph" w:styleId="Style_25">
    <w:name w:val="ConsPlusNormal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Arial" w:hAnsi="Arial" w:eastAsia="Arial" w:cs="Arial"/>
      <w:sz w:val="24"/>
      <w:szCs w:val="24"/>
      <w:lang w:val="ru-RU" w:bidi="ru-RU"/>
    </w:rPr>
  </w:style>
  <w:style w:type="paragraph" w:styleId="Style_26">
    <w:name w:val="ConsPlusNonformat"/>
    <w:uiPriority w:val="0"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Courier New" w:hAnsi="Courier New" w:eastAsia="Courier New" w:cs="Courier New"/>
      <w:sz w:val="20"/>
      <w:szCs w:val="20"/>
      <w:lang w:val="ru-RU" w:bidi="ru-RU"/>
    </w:rPr>
  </w:style>
  <w:style w:type="paragraph" w:styleId="Style_27">
    <w:name w:val="Balloon Text"/>
    <w:basedOn w:val="Style_0"/>
    <w:semiHidden/>
    <w:unhideWhenUsed/>
    <w:pPr>
      <w:spacing w:before="0" w:after="0" w:line="240" w:lineRule="auto"/>
      <w:ind w:left="0" w:right="0"/>
      <w:jc w:val="left"/>
      <w:rPr>
        <w:rFonts w:ascii="Times New Roman" w:hAnsi="Times New Roman" w:eastAsia="Times New Roman" w:cs="Times New Roman"/>
      </w:rPr>
    </w:pPr>
    <w:rPr>
      <w:rFonts w:ascii="Segoe UI" w:hAnsi="Segoe UI" w:eastAsia="Segoe UI" w:cs="Segoe UI"/>
      <w:sz w:val="18"/>
      <w:szCs w:val="18"/>
      <w:lang w:val="ru-RU" w:bidi="ru-RU"/>
    </w:rPr>
  </w:style>
  <w:style w:type="character" w:styleId="Style_28">
    <w:name w:val="Текст выноски Знак"/>
    <w:basedOn w:val="Style_10"/>
    <w:semiHidden/>
    <w:locked/>
    <w:rPr>
      <w:rFonts w:ascii="Segoe UI" w:hAnsi="Segoe UI" w:eastAsia="Segoe UI" w:cs="Segoe UI"/>
      <w:sz w:val="18"/>
    </w:rPr>
  </w:style>
  <w:style w:type="character" w:styleId="Style_29">
    <w:name w:val="apple-converted-space"/>
    <w:uiPriority w:val="0"/>
    <w:rPr>
      <w:rFonts w:ascii="Times New Roman" w:hAnsi="Times New Roman" w:eastAsia="Times New Roman" w:cs="Times New Roman"/>
      <w:sz w:val="24"/>
    </w:rPr>
  </w:style>
  <w:style w:type="paragraph" w:styleId="Style_30">
    <w:name w:val="List Paragraph"/>
    <w:basedOn w:val="Style_0"/>
    <w:uiPriority w:val="34"/>
    <w:qFormat/>
    <w:pPr>
      <w:spacing w:before="0" w:after="0" w:line="240" w:lineRule="auto"/>
      <w:ind w:left="720" w:right="0"/>
      <w:contextualSpacing/>
      <w:jc w:val="left"/>
      <w:rPr>
        <w:rFonts w:ascii="Times New Roman" w:hAnsi="Times New Roman" w:eastAsia="Times New Roman" w:cs="Times New Roman"/>
      </w:rPr>
    </w:pPr>
    <w:rPr>
      <w:rFonts w:ascii="Times New Roman" w:hAnsi="Times New Roman" w:eastAsia="Times New Roman" w:cs="Times New Roman"/>
      <w:sz w:val="24"/>
      <w:szCs w:val="24"/>
      <w:lang w:val="ru-RU"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yperlink" Target="consultantplus://offline/ref=01F8219F6DD549EBB83D38432A90079816CDADD379E7F204C1BB1BC8F189F667199F1283F22A08ADABA9D59D13CAA23BED665630956C0F08n824H" TargetMode="External"/><Relationship Id="rId10" Type="http://schemas.openxmlformats.org/officeDocument/2006/relationships/hyperlink" Target="consultantplus://offline/ref=E745CF885877C6EEE871506F852BF7E4A274B3C91F7E940343ADED2DE564063DCBC52FBA10E4F75AA0ED372AFFCFFED97C1721FC52BCF60CS7Y4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haractersWithSpaces>14267</CharactersWithSpaces>
  <DocSecurity>0</DocSecurity>
  <HyperlinksChanged>false</HyperlinksChanged>
  <LinksUpToDate>false</LinksUpToDate>
  <Pages>5</Pages>
  <ScaleCrop>false</ScaleCrop>
  <SharedDoc>false</SharedDoc>
  <TotalTime>207</TotalTime>
  <Words>1877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/>
</cp:coreProperties>
</file>